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B4248E">
        <w:rPr>
          <w:sz w:val="28"/>
        </w:rPr>
        <w:t>924</w:t>
      </w:r>
      <w:r>
        <w:rPr>
          <w:sz w:val="28"/>
        </w:rPr>
        <w:t>-220</w:t>
      </w:r>
      <w:r w:rsidR="00B4248E">
        <w:rPr>
          <w:sz w:val="28"/>
        </w:rPr>
        <w:t>3</w:t>
      </w:r>
      <w:r>
        <w:rPr>
          <w:sz w:val="28"/>
        </w:rPr>
        <w:t>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B4248E" w:rsidR="00B4248E">
        <w:rPr>
          <w:sz w:val="28"/>
        </w:rPr>
        <w:t>86MS0054-01-2025-004526-60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>г. Нягань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</w:t>
      </w:r>
      <w:r w:rsidR="00EE3F32">
        <w:rPr>
          <w:sz w:val="28"/>
        </w:rPr>
        <w:t xml:space="preserve">   </w:t>
      </w:r>
      <w:r w:rsidR="00031131">
        <w:rPr>
          <w:sz w:val="28"/>
        </w:rPr>
        <w:t xml:space="preserve">                 </w:t>
      </w:r>
      <w:r w:rsidR="004B6932">
        <w:rPr>
          <w:sz w:val="28"/>
        </w:rPr>
        <w:t xml:space="preserve"> </w:t>
      </w:r>
      <w:r w:rsidR="00B4248E">
        <w:rPr>
          <w:sz w:val="28"/>
        </w:rPr>
        <w:t>24 июля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1 Няганского</w:t>
      </w:r>
      <w:r>
        <w:rPr>
          <w:sz w:val="28"/>
        </w:rPr>
        <w:t xml:space="preserve"> судебного района Ханты-Мансийского автономного округа – Югры Л.Г.Волкова, </w:t>
      </w:r>
      <w:r w:rsidR="00B4248E">
        <w:rPr>
          <w:sz w:val="28"/>
        </w:rPr>
        <w:t>исполняя обязанности мирового судьи судебного участка № 3</w:t>
      </w:r>
      <w:r w:rsidRPr="00B4248E" w:rsidR="00B4248E">
        <w:rPr>
          <w:sz w:val="28"/>
        </w:rPr>
        <w:t xml:space="preserve"> </w:t>
      </w:r>
      <w:r w:rsidR="00B4248E">
        <w:rPr>
          <w:sz w:val="28"/>
        </w:rPr>
        <w:t>Няганского судебного района Ханты-Мансийского автономного округа – Югры,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рассмотрев дело об административном правонарушении</w:t>
      </w:r>
      <w:r>
        <w:rPr>
          <w:rFonts w:ascii="Times New Roman" w:hAnsi="Times New Roman"/>
          <w:sz w:val="28"/>
        </w:rPr>
        <w:t xml:space="preserve"> в отношении </w:t>
      </w:r>
      <w:r w:rsidR="00B4248E">
        <w:rPr>
          <w:rFonts w:ascii="Times New Roman" w:hAnsi="Times New Roman"/>
          <w:sz w:val="28"/>
        </w:rPr>
        <w:t>Гурьянова Алексея Николаевича</w:t>
      </w:r>
      <w:r w:rsidRPr="004A10AA" w:rsidR="004A10AA">
        <w:rPr>
          <w:rFonts w:ascii="Times New Roman" w:hAnsi="Times New Roman"/>
          <w:sz w:val="28"/>
        </w:rPr>
        <w:t xml:space="preserve">, </w:t>
      </w:r>
      <w:r w:rsidR="00EE6196">
        <w:rPr>
          <w:rFonts w:ascii="Times New Roman" w:hAnsi="Times New Roman"/>
          <w:sz w:val="28"/>
        </w:rPr>
        <w:t>*</w:t>
      </w:r>
      <w:r w:rsidRPr="004A10AA" w:rsidR="004A10AA">
        <w:rPr>
          <w:rFonts w:ascii="Times New Roman" w:hAnsi="Times New Roman"/>
          <w:sz w:val="28"/>
        </w:rPr>
        <w:t xml:space="preserve"> года рождения, уроженца </w:t>
      </w:r>
      <w:r w:rsidR="00EE6196">
        <w:rPr>
          <w:rFonts w:ascii="Times New Roman" w:hAnsi="Times New Roman"/>
          <w:sz w:val="28"/>
        </w:rPr>
        <w:t>*</w:t>
      </w:r>
      <w:r w:rsidRPr="004A10AA" w:rsidR="004A10AA">
        <w:rPr>
          <w:rFonts w:ascii="Times New Roman" w:hAnsi="Times New Roman"/>
          <w:sz w:val="28"/>
        </w:rPr>
        <w:t xml:space="preserve">, работающего </w:t>
      </w:r>
      <w:r w:rsidR="00B4248E">
        <w:rPr>
          <w:rFonts w:ascii="Times New Roman" w:hAnsi="Times New Roman"/>
          <w:sz w:val="28"/>
        </w:rPr>
        <w:t>генеральным директором</w:t>
      </w:r>
      <w:r w:rsidRPr="004A10AA" w:rsidR="004A10AA">
        <w:rPr>
          <w:rFonts w:ascii="Times New Roman" w:hAnsi="Times New Roman"/>
          <w:sz w:val="28"/>
        </w:rPr>
        <w:t xml:space="preserve"> </w:t>
      </w:r>
      <w:r w:rsidR="00BA29C1">
        <w:rPr>
          <w:rFonts w:ascii="Times New Roman" w:hAnsi="Times New Roman"/>
          <w:sz w:val="28"/>
        </w:rPr>
        <w:t>общества с ограниченной ответственностью «Центрзападнойсибири»</w:t>
      </w:r>
      <w:r w:rsidRPr="004A10AA" w:rsidR="004A10AA">
        <w:rPr>
          <w:rFonts w:ascii="Times New Roman" w:hAnsi="Times New Roman"/>
          <w:sz w:val="28"/>
        </w:rPr>
        <w:t xml:space="preserve">, проживающего по адресу: ХМАО-Югра, </w:t>
      </w:r>
      <w:r w:rsidR="00EE6196">
        <w:rPr>
          <w:rFonts w:ascii="Times New Roman" w:hAnsi="Times New Roman"/>
          <w:sz w:val="28"/>
        </w:rPr>
        <w:t>*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</w:t>
      </w:r>
      <w:r>
        <w:rPr>
          <w:sz w:val="28"/>
        </w:rPr>
        <w:t>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="00BA29C1">
        <w:rPr>
          <w:sz w:val="28"/>
        </w:rPr>
        <w:t>Гурьянов А.Н</w:t>
      </w:r>
      <w:r w:rsidRPr="004A10AA" w:rsidR="004A10AA">
        <w:rPr>
          <w:sz w:val="28"/>
        </w:rPr>
        <w:t xml:space="preserve">., являясь должностным лицом –   </w:t>
      </w:r>
      <w:r w:rsidR="00B4248E">
        <w:rPr>
          <w:sz w:val="28"/>
        </w:rPr>
        <w:t>генеральным директором</w:t>
      </w:r>
      <w:r w:rsidRPr="004A10AA" w:rsidR="004A10AA">
        <w:rPr>
          <w:sz w:val="28"/>
        </w:rPr>
        <w:t xml:space="preserve"> </w:t>
      </w:r>
      <w:r w:rsidR="00BA29C1">
        <w:rPr>
          <w:sz w:val="28"/>
        </w:rPr>
        <w:t>ООО «ЦЗС»</w:t>
      </w:r>
      <w:r w:rsidRPr="004A10AA" w:rsidR="004A10AA">
        <w:rPr>
          <w:sz w:val="28"/>
        </w:rPr>
        <w:t>, зарегистрированного по адресу: ХМАО-Югра, г.Нягань, 1</w:t>
      </w:r>
      <w:r w:rsidR="00BA29C1">
        <w:rPr>
          <w:sz w:val="28"/>
        </w:rPr>
        <w:t>0</w:t>
      </w:r>
      <w:r w:rsidRPr="004A10AA" w:rsidR="004A10AA">
        <w:rPr>
          <w:sz w:val="28"/>
        </w:rPr>
        <w:t xml:space="preserve"> микрорайон, дом </w:t>
      </w:r>
      <w:r w:rsidR="00BA29C1">
        <w:rPr>
          <w:sz w:val="28"/>
        </w:rPr>
        <w:t>12, квартира 37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DB20A6" w:rsidRPr="00B96CF1" w:rsidP="00DB20A6">
      <w:pPr>
        <w:shd w:val="clear" w:color="auto" w:fill="FFFFFF"/>
        <w:tabs>
          <w:tab w:val="left" w:pos="9354"/>
          <w:tab w:val="left" w:pos="9498"/>
        </w:tabs>
        <w:ind w:right="-2" w:firstLine="567"/>
        <w:jc w:val="both"/>
        <w:rPr>
          <w:sz w:val="28"/>
          <w:szCs w:val="28"/>
        </w:rPr>
      </w:pPr>
      <w:r w:rsidRPr="00B96CF1">
        <w:rPr>
          <w:sz w:val="28"/>
          <w:szCs w:val="28"/>
        </w:rPr>
        <w:t>Должностное л</w:t>
      </w:r>
      <w:r w:rsidRPr="00B96CF1">
        <w:rPr>
          <w:sz w:val="28"/>
          <w:szCs w:val="28"/>
        </w:rPr>
        <w:t xml:space="preserve">ицо </w:t>
      </w:r>
      <w:r w:rsidR="00BA29C1">
        <w:rPr>
          <w:sz w:val="28"/>
          <w:szCs w:val="28"/>
        </w:rPr>
        <w:t>Гурьянов А.Н</w:t>
      </w:r>
      <w:r w:rsidRPr="00B96CF1">
        <w:rPr>
          <w:sz w:val="28"/>
          <w:szCs w:val="28"/>
        </w:rPr>
        <w:t>., о дне, времени и месте рассмотрения дела извещался судебными повестками, направленными в его адрес, и по месту регистрации юридического лица, указанные в протоколе об административном правонарушении заказными письмами с уведомлениями, од</w:t>
      </w:r>
      <w:r w:rsidRPr="00B96CF1">
        <w:rPr>
          <w:sz w:val="28"/>
          <w:szCs w:val="28"/>
        </w:rPr>
        <w:t>нако конверты вернулись с отметкой почты “истек срок хранения”.</w:t>
      </w:r>
    </w:p>
    <w:p w:rsidR="00DB20A6" w:rsidRPr="00B96CF1" w:rsidP="00DB20A6">
      <w:pPr>
        <w:shd w:val="clear" w:color="auto" w:fill="FFFFFF"/>
        <w:tabs>
          <w:tab w:val="left" w:pos="9354"/>
          <w:tab w:val="left" w:pos="9498"/>
        </w:tabs>
        <w:ind w:right="-2" w:firstLine="567"/>
        <w:jc w:val="both"/>
        <w:rPr>
          <w:sz w:val="28"/>
          <w:szCs w:val="28"/>
        </w:rPr>
      </w:pPr>
      <w:r w:rsidRPr="00B96CF1">
        <w:rPr>
          <w:sz w:val="28"/>
          <w:szCs w:val="28"/>
        </w:rPr>
        <w:t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</w:t>
      </w:r>
      <w:r w:rsidRPr="00B96CF1">
        <w:rPr>
          <w:sz w:val="28"/>
          <w:szCs w:val="28"/>
        </w:rPr>
        <w:t>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</w:t>
      </w:r>
      <w:r w:rsidRPr="00B96CF1">
        <w:rPr>
          <w:sz w:val="28"/>
          <w:szCs w:val="28"/>
        </w:rPr>
        <w:t xml:space="preserve">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</w:t>
      </w:r>
      <w:r w:rsidRPr="00B96CF1">
        <w:rPr>
          <w:sz w:val="28"/>
          <w:szCs w:val="28"/>
        </w:rPr>
        <w:t>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B6932" w:rsidP="00DB20A6">
      <w:pPr>
        <w:pStyle w:val="NoSpacing"/>
        <w:ind w:firstLine="708"/>
        <w:jc w:val="both"/>
        <w:rPr>
          <w:sz w:val="28"/>
        </w:rPr>
      </w:pPr>
      <w:r w:rsidRPr="00B96CF1">
        <w:rPr>
          <w:sz w:val="28"/>
          <w:szCs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отсутствии должностного лица </w:t>
      </w:r>
      <w:r w:rsidR="00BA29C1">
        <w:rPr>
          <w:sz w:val="28"/>
          <w:szCs w:val="28"/>
        </w:rPr>
        <w:t>Гурьянова А.Н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BA29C1">
        <w:rPr>
          <w:sz w:val="28"/>
        </w:rPr>
        <w:t>Гурьянова А.Н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6 декабря 2011 г. N 402-ФЗ "О бухгалтерском учете" в целях форм</w:t>
      </w:r>
      <w:r>
        <w:rPr>
          <w:sz w:val="28"/>
        </w:rPr>
        <w:t>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годовой бухгалтерской отчетности в налоговый орган по месту нахождения экономического субъекта. Об</w:t>
      </w:r>
      <w:r>
        <w:rPr>
          <w:sz w:val="28"/>
        </w:rPr>
        <w:t>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Согласно пункту 47 Положения по бухгалтерскому учету ПБУ 4/99 «Бухгалтерская отчетн</w:t>
      </w:r>
      <w:r>
        <w:rPr>
          <w:sz w:val="28"/>
        </w:rPr>
        <w:t xml:space="preserve">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 следующий за </w:t>
      </w:r>
      <w:r>
        <w:rPr>
          <w:sz w:val="28"/>
        </w:rPr>
        <w:t xml:space="preserve">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 xml:space="preserve">редставлять в налоговый орган по месту нахождения организации, у которой отсутствует обязанность представлять годовую </w:t>
      </w:r>
      <w:r w:rsidRPr="00C06AA0">
        <w:rPr>
          <w:sz w:val="28"/>
        </w:rPr>
        <w:t>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</w:t>
      </w:r>
      <w:r w:rsidRPr="00C06AA0">
        <w:rPr>
          <w:sz w:val="28"/>
        </w:rPr>
        <w:t xml:space="preserve">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BA29C1">
        <w:rPr>
          <w:sz w:val="28"/>
        </w:rPr>
        <w:t>ООО «ЦЗС»</w:t>
      </w:r>
      <w:r w:rsidR="004A10AA">
        <w:rPr>
          <w:sz w:val="28"/>
        </w:rPr>
        <w:t xml:space="preserve"> </w:t>
      </w:r>
      <w:r w:rsidR="00BA29C1">
        <w:rPr>
          <w:sz w:val="28"/>
        </w:rPr>
        <w:t>Гурьяновым А.Н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BA29C1">
        <w:rPr>
          <w:sz w:val="28"/>
        </w:rPr>
        <w:t>Гурьянов А.Н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 w:rsidR="00BA29C1">
        <w:rPr>
          <w:sz w:val="28"/>
        </w:rPr>
        <w:t>, в установленный срок</w:t>
      </w:r>
      <w:r>
        <w:rPr>
          <w:sz w:val="28"/>
        </w:rPr>
        <w:t>.</w:t>
      </w:r>
      <w:r w:rsidR="00BA29C1">
        <w:rPr>
          <w:sz w:val="28"/>
        </w:rPr>
        <w:t xml:space="preserve"> Б</w:t>
      </w:r>
      <w:r w:rsidRPr="00BA29C1" w:rsidR="00BA29C1">
        <w:rPr>
          <w:sz w:val="28"/>
        </w:rPr>
        <w:t>ухгалтерск</w:t>
      </w:r>
      <w:r w:rsidR="00BA29C1">
        <w:rPr>
          <w:sz w:val="28"/>
        </w:rPr>
        <w:t>ая</w:t>
      </w:r>
      <w:r w:rsidRPr="00BA29C1" w:rsidR="00BA29C1">
        <w:rPr>
          <w:sz w:val="28"/>
        </w:rPr>
        <w:t xml:space="preserve"> отчетность за 2024 год</w:t>
      </w:r>
      <w:r w:rsidR="00BA29C1">
        <w:rPr>
          <w:sz w:val="28"/>
        </w:rPr>
        <w:t xml:space="preserve"> представлена по телекоммуникационным каналам связи 20 апреля 2025 года, то есть несвоевременно.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BA29C1">
        <w:rPr>
          <w:sz w:val="28"/>
        </w:rPr>
        <w:t>Гурьянова А.Н</w:t>
      </w:r>
      <w:r>
        <w:rPr>
          <w:sz w:val="28"/>
        </w:rPr>
        <w:t xml:space="preserve"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</w:t>
      </w:r>
      <w:r>
        <w:rPr>
          <w:sz w:val="28"/>
        </w:rPr>
        <w:t>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BA29C1">
        <w:rPr>
          <w:sz w:val="28"/>
        </w:rPr>
        <w:t>1720</w:t>
      </w:r>
      <w:r w:rsidR="00382725">
        <w:rPr>
          <w:sz w:val="28"/>
        </w:rPr>
        <w:t xml:space="preserve">Ю от </w:t>
      </w:r>
      <w:r w:rsidR="005B0B77">
        <w:rPr>
          <w:sz w:val="28"/>
        </w:rPr>
        <w:t xml:space="preserve">                    </w:t>
      </w:r>
      <w:r w:rsidR="00BA29C1">
        <w:rPr>
          <w:sz w:val="28"/>
        </w:rPr>
        <w:t>30</w:t>
      </w:r>
      <w:r w:rsidR="004A10AA">
        <w:rPr>
          <w:sz w:val="28"/>
        </w:rPr>
        <w:t xml:space="preserve"> июня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DB20A6">
        <w:rPr>
          <w:sz w:val="28"/>
          <w:szCs w:val="28"/>
        </w:rPr>
        <w:t>квитанцией о приеме налоговой декларации (расчета), бухгалтерской (финансовой) отчетности в электронной форме, согласно которой</w:t>
      </w:r>
      <w:r>
        <w:rPr>
          <w:sz w:val="28"/>
        </w:rPr>
        <w:t xml:space="preserve"> </w:t>
      </w:r>
      <w:r w:rsidR="00BA29C1">
        <w:rPr>
          <w:sz w:val="28"/>
        </w:rPr>
        <w:t>ООО «ЦЗС»</w:t>
      </w:r>
      <w:r w:rsidR="000D4993">
        <w:rPr>
          <w:sz w:val="28"/>
        </w:rPr>
        <w:t xml:space="preserve"> </w:t>
      </w:r>
      <w:r>
        <w:rPr>
          <w:sz w:val="28"/>
        </w:rPr>
        <w:t xml:space="preserve">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</w:t>
      </w:r>
      <w:r w:rsidR="00DB20A6">
        <w:rPr>
          <w:sz w:val="28"/>
        </w:rPr>
        <w:t xml:space="preserve">, </w:t>
      </w:r>
      <w:r w:rsidR="004A10AA">
        <w:rPr>
          <w:sz w:val="28"/>
        </w:rPr>
        <w:t>2</w:t>
      </w:r>
      <w:r w:rsidR="00BA29C1">
        <w:rPr>
          <w:sz w:val="28"/>
        </w:rPr>
        <w:t>0</w:t>
      </w:r>
      <w:r w:rsidR="004A10AA">
        <w:rPr>
          <w:sz w:val="28"/>
        </w:rPr>
        <w:t xml:space="preserve"> апреля</w:t>
      </w:r>
      <w:r w:rsidR="00DB20A6">
        <w:rPr>
          <w:sz w:val="28"/>
        </w:rPr>
        <w:t xml:space="preserve"> 2025 года</w:t>
      </w:r>
      <w:r>
        <w:rPr>
          <w:sz w:val="28"/>
        </w:rPr>
        <w:t xml:space="preserve">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B4248E">
        <w:rPr>
          <w:sz w:val="28"/>
        </w:rPr>
        <w:t>генеральным директором</w:t>
      </w:r>
      <w:r w:rsidR="004A10AA">
        <w:rPr>
          <w:sz w:val="28"/>
        </w:rPr>
        <w:t xml:space="preserve"> </w:t>
      </w:r>
      <w:r w:rsidR="00BA29C1">
        <w:rPr>
          <w:sz w:val="28"/>
        </w:rPr>
        <w:t>ООО «ЦЗС»</w:t>
      </w:r>
      <w:r>
        <w:rPr>
          <w:sz w:val="28"/>
        </w:rPr>
        <w:t xml:space="preserve"> является </w:t>
      </w:r>
      <w:r w:rsidR="00BA29C1">
        <w:rPr>
          <w:sz w:val="28"/>
        </w:rPr>
        <w:t>Гурьянов А.Н</w:t>
      </w:r>
      <w:r>
        <w:rPr>
          <w:sz w:val="28"/>
        </w:rPr>
        <w:t xml:space="preserve">. Соответственно, </w:t>
      </w:r>
      <w:r w:rsidR="00BA29C1">
        <w:rPr>
          <w:sz w:val="28"/>
        </w:rPr>
        <w:t>Гурьянов А.Н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образом, при рассмотрении дела вина должнос</w:t>
      </w:r>
      <w:r>
        <w:rPr>
          <w:sz w:val="28"/>
        </w:rPr>
        <w:t xml:space="preserve">тного лица </w:t>
      </w:r>
      <w:r w:rsidR="00BA29C1">
        <w:rPr>
          <w:sz w:val="28"/>
        </w:rPr>
        <w:t>Гурьянова А.Н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BA29C1">
        <w:rPr>
          <w:sz w:val="28"/>
        </w:rPr>
        <w:t>Гурьянова А.Н</w:t>
      </w:r>
      <w:r>
        <w:rPr>
          <w:sz w:val="28"/>
        </w:rPr>
        <w:t>. мировой суд</w:t>
      </w:r>
      <w:r>
        <w:rPr>
          <w:sz w:val="28"/>
        </w:rPr>
        <w:t>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</w:t>
      </w:r>
      <w:r>
        <w:rPr>
          <w:sz w:val="28"/>
        </w:rPr>
        <w:t xml:space="preserve">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BA29C1">
        <w:rPr>
          <w:sz w:val="28"/>
        </w:rPr>
        <w:t>Гурьянову А.Н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</w:t>
      </w:r>
      <w:r>
        <w:rPr>
          <w:sz w:val="28"/>
        </w:rPr>
        <w:t>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</w:t>
      </w:r>
      <w:r>
        <w:rPr>
          <w:sz w:val="28"/>
        </w:rPr>
        <w:t>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</w:t>
      </w:r>
      <w:r>
        <w:rPr>
          <w:sz w:val="28"/>
        </w:rPr>
        <w:t xml:space="preserve">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="00B4248E">
        <w:rPr>
          <w:sz w:val="28"/>
          <w:szCs w:val="28"/>
        </w:rPr>
        <w:t>Гурьянова Алексея Николаевича</w:t>
      </w:r>
      <w:r w:rsidR="004A10AA">
        <w:rPr>
          <w:sz w:val="28"/>
        </w:rPr>
        <w:t xml:space="preserve">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</w:t>
      </w:r>
      <w:r w:rsidRPr="00933705">
        <w:rPr>
          <w:sz w:val="28"/>
        </w:rPr>
        <w:t>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</w:t>
      </w:r>
      <w:r w:rsidRPr="00933705">
        <w:rPr>
          <w:sz w:val="28"/>
        </w:rPr>
        <w:t>07162163 ОКТМО 71879000 ИНН 8601073664 КПП 860101001 КБК 72011601153010006140, идентификатор</w:t>
      </w:r>
      <w:r w:rsidR="006763B4">
        <w:rPr>
          <w:sz w:val="28"/>
        </w:rPr>
        <w:t xml:space="preserve"> </w:t>
      </w:r>
      <w:r w:rsidRPr="00BA29C1" w:rsidR="00BA29C1">
        <w:rPr>
          <w:sz w:val="28"/>
        </w:rPr>
        <w:t>0412365400545009242515154</w:t>
      </w:r>
      <w:r w:rsidR="004A10AA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</w:t>
      </w:r>
      <w:r>
        <w:rPr>
          <w:sz w:val="28"/>
        </w:rPr>
        <w:t>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</w:t>
      </w:r>
      <w:r>
        <w:rPr>
          <w:sz w:val="28"/>
        </w:rPr>
        <w:t xml:space="preserve">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</w:t>
      </w:r>
      <w:r>
        <w:rPr>
          <w:sz w:val="28"/>
        </w:rPr>
        <w:t xml:space="preserve">лена квитанция об уплате штрафа мировому судье судебного участка № </w:t>
      </w:r>
      <w:r w:rsidR="00BA29C1">
        <w:rPr>
          <w:sz w:val="28"/>
        </w:rPr>
        <w:t>3</w:t>
      </w:r>
      <w:r>
        <w:rPr>
          <w:sz w:val="28"/>
        </w:rPr>
        <w:t xml:space="preserve">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</w:t>
      </w:r>
      <w:r>
        <w:rPr>
          <w:sz w:val="28"/>
        </w:rPr>
        <w:t>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</w:t>
      </w:r>
      <w:r>
        <w:rPr>
          <w:sz w:val="28"/>
        </w:rPr>
        <w:t xml:space="preserve">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</w:t>
      </w:r>
      <w:r>
        <w:rPr>
          <w:sz w:val="28"/>
        </w:rPr>
        <w:t>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</w:t>
      </w:r>
      <w:r>
        <w:rPr>
          <w:sz w:val="28"/>
        </w:rPr>
        <w:t>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BA29C1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</w:t>
      </w:r>
      <w:r>
        <w:rPr>
          <w:sz w:val="28"/>
        </w:rPr>
        <w:t xml:space="preserve">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sectPr w:rsidSect="009E319D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E6196">
      <w:rPr>
        <w:noProof/>
      </w:rPr>
      <w:t>3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569EA"/>
    <w:rsid w:val="00083ECD"/>
    <w:rsid w:val="000B0E4E"/>
    <w:rsid w:val="000D4993"/>
    <w:rsid w:val="0011110E"/>
    <w:rsid w:val="00190FCA"/>
    <w:rsid w:val="001D54C1"/>
    <w:rsid w:val="001F004F"/>
    <w:rsid w:val="00215AFC"/>
    <w:rsid w:val="002336C1"/>
    <w:rsid w:val="00257A79"/>
    <w:rsid w:val="0027281E"/>
    <w:rsid w:val="002C6696"/>
    <w:rsid w:val="002F1994"/>
    <w:rsid w:val="00382725"/>
    <w:rsid w:val="003877C4"/>
    <w:rsid w:val="00396F61"/>
    <w:rsid w:val="003C187B"/>
    <w:rsid w:val="00400F1A"/>
    <w:rsid w:val="00410762"/>
    <w:rsid w:val="0045382D"/>
    <w:rsid w:val="0046627C"/>
    <w:rsid w:val="004908CE"/>
    <w:rsid w:val="004926FE"/>
    <w:rsid w:val="004A10AA"/>
    <w:rsid w:val="004B6932"/>
    <w:rsid w:val="004D2E82"/>
    <w:rsid w:val="004E238A"/>
    <w:rsid w:val="005B0B77"/>
    <w:rsid w:val="005D2AF7"/>
    <w:rsid w:val="0060315D"/>
    <w:rsid w:val="00620D6B"/>
    <w:rsid w:val="00640048"/>
    <w:rsid w:val="006763B4"/>
    <w:rsid w:val="006A7FC4"/>
    <w:rsid w:val="006C5B1A"/>
    <w:rsid w:val="006F2CE4"/>
    <w:rsid w:val="006F6390"/>
    <w:rsid w:val="006F6C2D"/>
    <w:rsid w:val="007427E7"/>
    <w:rsid w:val="007703B9"/>
    <w:rsid w:val="007977A2"/>
    <w:rsid w:val="007C02E0"/>
    <w:rsid w:val="007F20E5"/>
    <w:rsid w:val="008F2307"/>
    <w:rsid w:val="0093062E"/>
    <w:rsid w:val="00933705"/>
    <w:rsid w:val="009923C4"/>
    <w:rsid w:val="009C1F0B"/>
    <w:rsid w:val="009E0A86"/>
    <w:rsid w:val="009E319D"/>
    <w:rsid w:val="009F10AD"/>
    <w:rsid w:val="00A10CEE"/>
    <w:rsid w:val="00A3304A"/>
    <w:rsid w:val="00A56152"/>
    <w:rsid w:val="00B3025A"/>
    <w:rsid w:val="00B418FB"/>
    <w:rsid w:val="00B4248E"/>
    <w:rsid w:val="00B5669A"/>
    <w:rsid w:val="00B96CF1"/>
    <w:rsid w:val="00B97CBD"/>
    <w:rsid w:val="00BA29C1"/>
    <w:rsid w:val="00BA3BB7"/>
    <w:rsid w:val="00BD26EE"/>
    <w:rsid w:val="00BE14E6"/>
    <w:rsid w:val="00BF0DBE"/>
    <w:rsid w:val="00C06AA0"/>
    <w:rsid w:val="00C231F9"/>
    <w:rsid w:val="00CA2927"/>
    <w:rsid w:val="00CE55E0"/>
    <w:rsid w:val="00D2540D"/>
    <w:rsid w:val="00D327EE"/>
    <w:rsid w:val="00DB20A6"/>
    <w:rsid w:val="00DD7866"/>
    <w:rsid w:val="00E01303"/>
    <w:rsid w:val="00E15378"/>
    <w:rsid w:val="00ED1785"/>
    <w:rsid w:val="00EE3F32"/>
    <w:rsid w:val="00EE6196"/>
    <w:rsid w:val="00EF5C72"/>
    <w:rsid w:val="00F12374"/>
    <w:rsid w:val="00F808AB"/>
    <w:rsid w:val="00FE60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uiPriority w:val="9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uiPriority w:val="99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EE2A-AF7E-4FC7-93B1-810BE694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